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PC-201</w:t>
      </w:r>
    </w:p>
    <w:p>
      <w:pPr>
        <w:spacing w:after="120"/>
      </w:pPr>
      <w:r>
        <w:rPr>
          <w:rFonts w:ascii="Calibri" w:cs="Calibri" w:eastAsia="Calibri" w:hAnsi="Calibri"/>
          <w:b/>
          <w:bCs/>
          <w:color w:val="1F3864"/>
          <w:sz w:val="52"/>
          <w:szCs w:val="52"/>
        </w:rPr>
        <w:t xml:space="preserve">Mutual Non-Disclosure Agreement</w:t>
      </w:r>
    </w:p>
    <w:p>
      <w:pPr>
        <w:spacing w:after="100"/>
      </w:pPr>
      <w:r>
        <w:rPr>
          <w:rFonts w:ascii="Calibri" w:cs="Calibri" w:eastAsia="Calibri" w:hAnsi="Calibri"/>
          <w:color w:val="595959"/>
          <w:sz w:val="24"/>
          <w:szCs w:val="24"/>
        </w:rPr>
        <w:t xml:space="preserve">Annotated legal template covering exercise materials, client information, findings, and deliverables</w:t>
      </w:r>
    </w:p>
    <w:p>
      <w:pPr>
        <w:pBdr>
          <w:bottom w:val="single" w:color="2E74B5" w:sz="8" w:space="6"/>
        </w:pBdr>
        <w:spacing w:after="80"/>
      </w:pPr>
      <w:r>
        <w:rPr>
          <w:rFonts w:ascii="Calibri" w:cs="Calibri" w:eastAsia="Calibri" w:hAnsi="Calibri"/>
          <w:color w:val="595959"/>
          <w:sz w:val="20"/>
          <w:szCs w:val="20"/>
        </w:rPr>
        <w:t xml:space="preserve">Legal Template  |  Version 1.0  |  July 2026</w:t>
      </w:r>
    </w:p>
    <w:p>
      <w:pPr>
        <w:spacing w:after="160"/>
      </w:pPr>
    </w:p>
    <w:p>
      <w:pPr>
        <w:spacing w:after="240" w:before="0" w:line="276"/>
      </w:pPr>
      <w:r>
        <w:rPr>
          <w:rFonts w:ascii="Calibri" w:cs="Calibri" w:eastAsia="Calibri" w:hAnsi="Calibri"/>
          <w:i/>
          <w:iCs/>
          <w:color w:val="595959"/>
          <w:sz w:val="21"/>
          <w:szCs w:val="21"/>
        </w:rPr>
        <w:t xml:space="preserve">This template does not constitute legal advice.</w:t>
      </w:r>
    </w:p>
    <w:p>
      <w:pPr>
        <w:pStyle w:val="Heading1"/>
        <w:keepNext/>
        <w:spacing w:after="140" w:before="320"/>
      </w:pPr>
      <w:r>
        <w:rPr>
          <w:rFonts w:ascii="Calibri" w:cs="Calibri" w:eastAsia="Calibri" w:hAnsi="Calibri"/>
          <w:b/>
          <w:bCs/>
          <w:color w:val="1F3864"/>
          <w:sz w:val="30"/>
          <w:szCs w:val="30"/>
        </w:rPr>
        <w:t xml:space="preserve">How to Use This Template</w:t>
      </w:r>
    </w:p>
    <w:p>
      <w:pPr>
        <w:spacing w:after="120" w:before="0" w:line="276"/>
      </w:pPr>
      <w:r>
        <w:rPr>
          <w:rFonts w:ascii="Calibri" w:cs="Calibri" w:eastAsia="Calibri" w:hAnsi="Calibri"/>
          <w:color w:val="404040"/>
          <w:sz w:val="21"/>
          <w:szCs w:val="21"/>
        </w:rPr>
        <w:t xml:space="preserve">This is an annotated first-draft template. It contains substantively complete language that practitioners should customize for their practice and have reviewed by their own legal counsel before use. Square-bracketed fields such as [DATE] and [CLIENT ORGANIZATION NAME] mark values you must supply. Three types of annotation boxes appear throughout: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w:t>
            </w:r>
          </w:p>
          <w:p>
            <w:pPr>
              <w:spacing w:after="40" w:before="0" w:line="276"/>
            </w:pPr>
            <w:r>
              <w:rPr>
                <w:rFonts w:ascii="Calibri" w:cs="Calibri" w:eastAsia="Calibri" w:hAnsi="Calibri"/>
                <w:color w:val="404040"/>
                <w:sz w:val="20"/>
                <w:szCs w:val="20"/>
              </w:rPr>
              <w:t xml:space="preserve">Blue boxes indicate fields or sections that must be customized with the practitioner's specific information: organization names, addresses, jurisdictions, retention periods, and service descriptions.</w:t>
            </w:r>
          </w:p>
        </w:tc>
      </w:tr>
    </w:tbl>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00000" w:sz="24"/>
              <w:bottom w:val="none" w:color="FFFFFF" w:sz="0"/>
              <w:right w:val="none" w:color="FFFFFF" w:sz="0"/>
            </w:tcBorders>
            <w:shd w:fill="FBE4E4" w:val="clear"/>
            <w:tcMar>
              <w:top w:type="dxa" w:w="100"/>
              <w:left w:type="dxa" w:w="160"/>
              <w:bottom w:type="dxa" w:w="100"/>
              <w:right w:type="dxa" w:w="160"/>
            </w:tcMar>
          </w:tcPr>
          <w:p>
            <w:pPr>
              <w:spacing w:after="60"/>
            </w:pPr>
            <w:r>
              <w:rPr>
                <w:rFonts w:ascii="Calibri" w:cs="Calibri" w:eastAsia="Calibri" w:hAnsi="Calibri"/>
                <w:b/>
                <w:bCs/>
                <w:color w:val="C00000"/>
                <w:sz w:val="20"/>
                <w:szCs w:val="20"/>
              </w:rPr>
              <w:t xml:space="preserve">⚖  ATTORNEY REVIEW REQUIRED</w:t>
            </w:r>
          </w:p>
          <w:p>
            <w:pPr>
              <w:spacing w:after="40" w:before="0" w:line="276"/>
            </w:pPr>
            <w:r>
              <w:rPr>
                <w:rFonts w:ascii="Calibri" w:cs="Calibri" w:eastAsia="Calibri" w:hAnsi="Calibri"/>
                <w:color w:val="404040"/>
                <w:sz w:val="20"/>
                <w:szCs w:val="20"/>
              </w:rPr>
              <w:t xml:space="preserve">Red boxes indicate provisions that require attorney review before use. These sections contain substantive legal provisions where local law, specific business circumstances, or risk tolerance may require modification.</w:t>
            </w:r>
          </w:p>
        </w:tc>
      </w:tr>
    </w:tbl>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w:t>
            </w:r>
          </w:p>
          <w:p>
            <w:pPr>
              <w:spacing w:after="40" w:before="0" w:line="276"/>
            </w:pPr>
            <w:r>
              <w:rPr>
                <w:rFonts w:ascii="Calibri" w:cs="Calibri" w:eastAsia="Calibri" w:hAnsi="Calibri"/>
                <w:color w:val="404040"/>
                <w:sz w:val="20"/>
                <w:szCs w:val="20"/>
              </w:rPr>
              <w:t xml:space="preserve">Blue-bordered boxes provide context explaining the purpose of a provision, common variations, and considerations for customization.</w:t>
            </w:r>
          </w:p>
        </w:tc>
      </w:tr>
    </w:tbl>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Before client use</w:t>
            </w:r>
          </w:p>
          <w:p>
            <w:pPr>
              <w:spacing w:after="40" w:before="0" w:line="276"/>
            </w:pPr>
            <w:r>
              <w:rPr>
                <w:rFonts w:ascii="Calibri" w:cs="Calibri" w:eastAsia="Calibri" w:hAnsi="Calibri"/>
                <w:color w:val="404040"/>
                <w:sz w:val="20"/>
                <w:szCs w:val="20"/>
              </w:rPr>
              <w:t xml:space="preserve">Delete all annotation boxes before using this template with a client. The final document should contain only the legal text with your customized information inserted. Annotations are for the practitioner's preparation process only.</w:t>
            </w:r>
          </w:p>
        </w:tc>
      </w:tr>
    </w:tbl>
    <w:p>
      <w:r>
        <w:br w:type="page"/>
      </w:r>
    </w:p>
    <w:p>
      <w:pPr>
        <w:pStyle w:val="Heading1"/>
        <w:keepNext/>
        <w:spacing w:after="140" w:before="320"/>
      </w:pPr>
      <w:r>
        <w:rPr>
          <w:rFonts w:ascii="Calibri" w:cs="Calibri" w:eastAsia="Calibri" w:hAnsi="Calibri"/>
          <w:b/>
          <w:bCs/>
          <w:color w:val="1F3864"/>
          <w:sz w:val="30"/>
          <w:szCs w:val="30"/>
        </w:rPr>
        <w:t xml:space="preserve">Mutual Non-Disclosure Agreement</w:t>
      </w:r>
    </w:p>
    <w:p>
      <w:pPr>
        <w:spacing w:after="120" w:before="0" w:line="276"/>
      </w:pPr>
      <w:r>
        <w:rPr>
          <w:rFonts w:ascii="Calibri" w:cs="Calibri" w:eastAsia="Calibri" w:hAnsi="Calibri"/>
          <w:color w:val="404040"/>
          <w:sz w:val="21"/>
          <w:szCs w:val="21"/>
        </w:rPr>
        <w:t xml:space="preserve">This Mutual Non-Disclosure Agreement (“Agreement”) is entered into as of [DATE] (“Effective Date”) by and between: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[YOUR ORGANIZATION NAME]</w:t>
      </w:r>
      <w:r>
        <w:rPr>
          <w:rFonts w:ascii="Calibri" w:cs="Calibri" w:eastAsia="Calibri" w:hAnsi="Calibri"/>
          <w:color w:val="404040"/>
          <w:sz w:val="21"/>
          <w:szCs w:val="21"/>
        </w:rPr>
        <w:t xml:space="preserve"> (“Provider”), with principal offices at [ADDRESS],</w:t>
      </w:r>
    </w:p>
    <w:p>
      <w:pPr>
        <w:spacing w:after="120" w:before="0" w:line="276"/>
      </w:pPr>
      <w:r>
        <w:rPr>
          <w:rFonts w:ascii="Calibri" w:cs="Calibri" w:eastAsia="Calibri" w:hAnsi="Calibri"/>
          <w:color w:val="404040"/>
          <w:sz w:val="21"/>
          <w:szCs w:val="21"/>
        </w:rPr>
        <w:t xml:space="preserve">and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[CLIENT ORGANIZATION NAME]</w:t>
      </w:r>
      <w:r>
        <w:rPr>
          <w:rFonts w:ascii="Calibri" w:cs="Calibri" w:eastAsia="Calibri" w:hAnsi="Calibri"/>
          <w:color w:val="404040"/>
          <w:sz w:val="21"/>
          <w:szCs w:val="21"/>
        </w:rPr>
        <w:t xml:space="preserve"> (“Client”), with principal offices at [ADDRESS]</w:t>
      </w:r>
    </w:p>
    <w:p>
      <w:pPr>
        <w:spacing w:after="120" w:before="0" w:line="276"/>
      </w:pPr>
      <w:r>
        <w:rPr>
          <w:rFonts w:ascii="Calibri" w:cs="Calibri" w:eastAsia="Calibri" w:hAnsi="Calibri"/>
          <w:color w:val="404040"/>
          <w:sz w:val="21"/>
          <w:szCs w:val="21"/>
        </w:rPr>
        <w:t xml:space="preserve">(each a “Party” and collectively the “Parties”).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Party details</w:t>
            </w:r>
          </w:p>
          <w:p>
            <w:pPr>
              <w:spacing w:after="40" w:before="0" w:line="276"/>
            </w:pPr>
            <w:r>
              <w:rPr>
                <w:rFonts w:ascii="Calibri" w:cs="Calibri" w:eastAsia="Calibri" w:hAnsi="Calibri"/>
                <w:color w:val="404040"/>
                <w:sz w:val="20"/>
                <w:szCs w:val="20"/>
              </w:rPr>
              <w:t xml:space="preserve">Insert both parties' legal names and addresses. Confirm the entity names match those on the Statement of Work and Engagement Terms (02 - Contract folder).</w:t>
            </w:r>
          </w:p>
        </w:tc>
      </w:tr>
    </w:tbl>
    <w:p>
      <w:pPr>
        <w:pStyle w:val="Heading2"/>
        <w:keepNext/>
        <w:spacing w:after="110" w:before="240"/>
      </w:pPr>
      <w:r>
        <w:rPr>
          <w:rFonts w:ascii="Calibri" w:cs="Calibri" w:eastAsia="Calibri" w:hAnsi="Calibri"/>
          <w:b/>
          <w:bCs/>
          <w:color w:val="2E74B5"/>
          <w:sz w:val="25"/>
          <w:szCs w:val="25"/>
        </w:rPr>
        <w:t xml:space="preserve">1. Purpose</w:t>
      </w:r>
    </w:p>
    <w:p>
      <w:pPr>
        <w:spacing w:after="120" w:before="0" w:line="276"/>
      </w:pPr>
      <w:r>
        <w:rPr>
          <w:rFonts w:ascii="Calibri" w:cs="Calibri" w:eastAsia="Calibri" w:hAnsi="Calibri"/>
          <w:color w:val="404040"/>
          <w:sz w:val="21"/>
          <w:szCs w:val="21"/>
        </w:rPr>
        <w:t xml:space="preserve">1.1 The Parties intend to engage in discussions and activities related to a Business Resilience Pulse Check tabletop exercise engagement (the “Purpose”). In connection with the Purpose, each Party may disclose to the other certain confidential and proprietary information. This Agreement sets forth the terms under which such information shall be disclosed, received, and protected.</w:t>
      </w:r>
    </w:p>
    <w:p>
      <w:pPr>
        <w:pStyle w:val="Heading2"/>
        <w:keepNext/>
        <w:spacing w:after="110" w:before="240"/>
      </w:pPr>
      <w:r>
        <w:rPr>
          <w:rFonts w:ascii="Calibri" w:cs="Calibri" w:eastAsia="Calibri" w:hAnsi="Calibri"/>
          <w:b/>
          <w:bCs/>
          <w:color w:val="2E74B5"/>
          <w:sz w:val="25"/>
          <w:szCs w:val="25"/>
        </w:rPr>
        <w:t xml:space="preserve">2. Definition of Confidential Information</w:t>
      </w:r>
    </w:p>
    <w:p>
      <w:pPr>
        <w:spacing w:after="120" w:before="0" w:line="276"/>
      </w:pPr>
      <w:r>
        <w:rPr>
          <w:rFonts w:ascii="Calibri" w:cs="Calibri" w:eastAsia="Calibri" w:hAnsi="Calibri"/>
          <w:color w:val="404040"/>
          <w:sz w:val="21"/>
          <w:szCs w:val="21"/>
        </w:rPr>
        <w:t xml:space="preserve">2.1 “Confidential Information” means any and all non-public information disclosed by either Party to the other, whether orally, in writing, electronically, or by inspection, that is designated as confidential or that reasonably should be understood to be confidential given the nature of the information and the circumstances of disclosure. Confidential Information includes, without limitation:</w:t>
      </w:r>
    </w:p>
    <w:p>
      <w:pPr>
        <w:pStyle w:val="ListParagraph"/>
        <w:numPr>
          <w:ilvl w:val="0"/>
          <w:numId w:val="2"/>
        </w:numPr>
        <w:spacing w:after="80" w:line="276"/>
      </w:pPr>
      <w:r>
        <w:rPr>
          <w:rFonts w:ascii="Calibri" w:cs="Calibri" w:eastAsia="Calibri" w:hAnsi="Calibri"/>
          <w:color w:val="404040"/>
          <w:sz w:val="21"/>
          <w:szCs w:val="21"/>
        </w:rPr>
        <w:t xml:space="preserve">All exercise materials, scenarios, injects, discussion questions, facilitator guides, and participant materials</w:t>
      </w:r>
    </w:p>
    <w:p>
      <w:pPr>
        <w:pStyle w:val="ListParagraph"/>
        <w:numPr>
          <w:ilvl w:val="0"/>
          <w:numId w:val="2"/>
        </w:numPr>
        <w:spacing w:after="80" w:line="276"/>
      </w:pPr>
      <w:r>
        <w:rPr>
          <w:rFonts w:ascii="Calibri" w:cs="Calibri" w:eastAsia="Calibri" w:hAnsi="Calibri"/>
          <w:color w:val="404040"/>
          <w:sz w:val="21"/>
          <w:szCs w:val="21"/>
        </w:rPr>
        <w:t xml:space="preserve">All deliverables, including the Pulse Check After-Action Report (together with its findings matrix, remediation roadmap, and Improvement Plan appendix), the Executive Summary, the Compliance Evidence Package, and the Improvement Plan Tracker</w:t>
      </w:r>
    </w:p>
    <w:p>
      <w:pPr>
        <w:pStyle w:val="ListParagraph"/>
        <w:numPr>
          <w:ilvl w:val="0"/>
          <w:numId w:val="2"/>
        </w:numPr>
        <w:spacing w:after="80" w:line="276"/>
      </w:pPr>
      <w:r>
        <w:rPr>
          <w:rFonts w:ascii="Calibri" w:cs="Calibri" w:eastAsia="Calibri" w:hAnsi="Calibri"/>
          <w:color w:val="404040"/>
          <w:sz w:val="21"/>
          <w:szCs w:val="21"/>
        </w:rPr>
        <w:t xml:space="preserve">Client's incident response plans, business continuity plans, security policies, network diagrams, vendor information, and organizational structure</w:t>
      </w:r>
    </w:p>
    <w:p>
      <w:pPr>
        <w:pStyle w:val="ListParagraph"/>
        <w:numPr>
          <w:ilvl w:val="0"/>
          <w:numId w:val="2"/>
        </w:numPr>
        <w:spacing w:after="80" w:line="276"/>
      </w:pPr>
      <w:r>
        <w:rPr>
          <w:rFonts w:ascii="Calibri" w:cs="Calibri" w:eastAsia="Calibri" w:hAnsi="Calibri"/>
          <w:color w:val="404040"/>
          <w:sz w:val="21"/>
          <w:szCs w:val="21"/>
        </w:rPr>
        <w:t xml:space="preserve">Client's security posture, vulnerabilities, gaps, and risk assessments as discussed during the exercise or documented in deliverables</w:t>
      </w:r>
    </w:p>
    <w:p>
      <w:pPr>
        <w:pStyle w:val="ListParagraph"/>
        <w:numPr>
          <w:ilvl w:val="0"/>
          <w:numId w:val="2"/>
        </w:numPr>
        <w:spacing w:after="80" w:line="276"/>
      </w:pPr>
      <w:r>
        <w:rPr>
          <w:rFonts w:ascii="Calibri" w:cs="Calibri" w:eastAsia="Calibri" w:hAnsi="Calibri"/>
          <w:color w:val="404040"/>
          <w:sz w:val="21"/>
          <w:szCs w:val="21"/>
        </w:rPr>
        <w:t xml:space="preserve">Provider's proprietary methodology, scenario design frameworks, templates, and assessment tools</w:t>
      </w:r>
    </w:p>
    <w:p>
      <w:pPr>
        <w:pStyle w:val="ListParagraph"/>
        <w:numPr>
          <w:ilvl w:val="0"/>
          <w:numId w:val="2"/>
        </w:numPr>
        <w:spacing w:after="80" w:line="276"/>
      </w:pPr>
      <w:r>
        <w:rPr>
          <w:rFonts w:ascii="Calibri" w:cs="Calibri" w:eastAsia="Calibri" w:hAnsi="Calibri"/>
          <w:color w:val="404040"/>
          <w:sz w:val="21"/>
          <w:szCs w:val="21"/>
        </w:rPr>
        <w:t xml:space="preserve">Financial terms, pricing, and business arrangements between the Parties</w:t>
      </w:r>
    </w:p>
    <w:p>
      <w:pPr>
        <w:pStyle w:val="ListParagraph"/>
        <w:numPr>
          <w:ilvl w:val="0"/>
          <w:numId w:val="2"/>
        </w:numPr>
        <w:spacing w:after="80" w:line="276"/>
      </w:pPr>
      <w:r>
        <w:rPr>
          <w:rFonts w:ascii="Calibri" w:cs="Calibri" w:eastAsia="Calibri" w:hAnsi="Calibri"/>
          <w:color w:val="404040"/>
          <w:sz w:val="21"/>
          <w:szCs w:val="21"/>
        </w:rPr>
        <w:t xml:space="preserve">Observations, notes, recordings, and documentation created during the exercise</w:t>
      </w:r>
    </w:p>
    <w:p>
      <w:pPr>
        <w:spacing w:after="120" w:before="0" w:line="276"/>
      </w:pPr>
      <w:r>
        <w:rPr>
          <w:rFonts w:ascii="Calibri" w:cs="Calibri" w:eastAsia="Calibri" w:hAnsi="Calibri"/>
          <w:color w:val="404040"/>
          <w:sz w:val="21"/>
          <w:szCs w:val="21"/>
        </w:rPr>
        <w:t xml:space="preserve">2.2 Confidential Information does not include information that: (a) is or becomes publicly available through no fault of the receiving Party; (b) was known to the receiving Party prior to disclosure without obligation of confidentiality; (c) is independently developed by the receiving Party without use of the disclosing Party's Confidential Information; or (d) is lawfully obtained from a third party without restriction on disclosure.</w:t>
      </w:r>
    </w:p>
    <w:p>
      <w:pPr>
        <w:pStyle w:val="Heading2"/>
        <w:keepNext/>
        <w:spacing w:after="110" w:before="240"/>
      </w:pPr>
      <w:r>
        <w:rPr>
          <w:rFonts w:ascii="Calibri" w:cs="Calibri" w:eastAsia="Calibri" w:hAnsi="Calibri"/>
          <w:b/>
          <w:bCs/>
          <w:color w:val="2E74B5"/>
          <w:sz w:val="25"/>
          <w:szCs w:val="25"/>
        </w:rPr>
        <w:t xml:space="preserve">3. Obligations of the Receiving Party</w:t>
      </w:r>
    </w:p>
    <w:p>
      <w:pPr>
        <w:spacing w:after="120" w:before="0" w:line="276"/>
      </w:pPr>
      <w:r>
        <w:rPr>
          <w:rFonts w:ascii="Calibri" w:cs="Calibri" w:eastAsia="Calibri" w:hAnsi="Calibri"/>
          <w:color w:val="404040"/>
          <w:sz w:val="21"/>
          <w:szCs w:val="21"/>
        </w:rPr>
        <w:t xml:space="preserve">3.1 Each Party agrees to: (a) hold the other Party's Confidential Information in strict confidence; (b) not disclose Confidential Information to any third party without the prior written consent of the disclosing Party; (c) use Confidential Information solely for the Purpose; and (d) limit access to Confidential Information to those employees, contractors, and advisors who have a need to know and who are bound by confidentiality obligations at least as protective as those contained herein.</w:t>
      </w:r>
    </w:p>
    <w:p>
      <w:pPr>
        <w:spacing w:after="120" w:before="0" w:line="276"/>
      </w:pPr>
      <w:r>
        <w:rPr>
          <w:rFonts w:ascii="Calibri" w:cs="Calibri" w:eastAsia="Calibri" w:hAnsi="Calibri"/>
          <w:color w:val="404040"/>
          <w:sz w:val="21"/>
          <w:szCs w:val="21"/>
        </w:rPr>
        <w:t xml:space="preserve">3.2 Each Party shall protect the other Party's Confidential Information using the same degree of care it uses to protect its own confidential information, but in no event less than reasonable care.</w:t>
      </w:r>
    </w:p>
    <w:p>
      <w:pPr>
        <w:pStyle w:val="Heading2"/>
        <w:keepNext/>
        <w:spacing w:after="110" w:before="240"/>
      </w:pPr>
      <w:r>
        <w:rPr>
          <w:rFonts w:ascii="Calibri" w:cs="Calibri" w:eastAsia="Calibri" w:hAnsi="Calibri"/>
          <w:b/>
          <w:bCs/>
          <w:color w:val="2E74B5"/>
          <w:sz w:val="25"/>
          <w:szCs w:val="25"/>
        </w:rPr>
        <w:t xml:space="preserve">4. Permitted Disclosures</w:t>
      </w:r>
    </w:p>
    <w:p>
      <w:pPr>
        <w:spacing w:after="120" w:before="0" w:line="276"/>
      </w:pPr>
      <w:r>
        <w:rPr>
          <w:rFonts w:ascii="Calibri" w:cs="Calibri" w:eastAsia="Calibri" w:hAnsi="Calibri"/>
          <w:color w:val="404040"/>
          <w:sz w:val="21"/>
          <w:szCs w:val="21"/>
        </w:rPr>
        <w:t xml:space="preserve">4.1 A Party may disclose Confidential Information to the extent required by law, regulation, or court order, provided that the disclosing Party: (a) provides prompt written notice to the other Party (to the extent legally permitted); (b) cooperates with the other Party's efforts to obtain a protective order; and (c) discloses only the minimum information required.</w:t>
      </w:r>
    </w:p>
    <w:p>
      <w:pPr>
        <w:spacing w:after="120" w:before="0" w:line="276"/>
      </w:pPr>
      <w:r>
        <w:rPr>
          <w:rFonts w:ascii="Calibri" w:cs="Calibri" w:eastAsia="Calibri" w:hAnsi="Calibri"/>
          <w:color w:val="404040"/>
          <w:sz w:val="21"/>
          <w:szCs w:val="21"/>
        </w:rPr>
        <w:t xml:space="preserve">4.2 Provider may share Client's Confidential Information with subcontractors or co-facilitators engaged for the Purpose, provided such individuals are bound by confidentiality obligations consistent with this Agreement and Client has been notified of their involvement.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00000" w:sz="24"/>
              <w:bottom w:val="none" w:color="FFFFFF" w:sz="0"/>
              <w:right w:val="none" w:color="FFFFFF" w:sz="0"/>
            </w:tcBorders>
            <w:shd w:fill="FBE4E4" w:val="clear"/>
            <w:tcMar>
              <w:top w:type="dxa" w:w="100"/>
              <w:left w:type="dxa" w:w="160"/>
              <w:bottom w:type="dxa" w:w="100"/>
              <w:right w:type="dxa" w:w="160"/>
            </w:tcMar>
          </w:tcPr>
          <w:p>
            <w:pPr>
              <w:spacing w:after="60"/>
            </w:pPr>
            <w:r>
              <w:rPr>
                <w:rFonts w:ascii="Calibri" w:cs="Calibri" w:eastAsia="Calibri" w:hAnsi="Calibri"/>
                <w:b/>
                <w:bCs/>
                <w:color w:val="C00000"/>
                <w:sz w:val="20"/>
                <w:szCs w:val="20"/>
              </w:rPr>
              <w:t xml:space="preserve">⚖  ATTORNEY REVIEW REQUIRED: Permitted disclosures</w:t>
            </w:r>
          </w:p>
          <w:p>
            <w:pPr>
              <w:spacing w:after="40" w:before="0" w:line="276"/>
            </w:pPr>
            <w:r>
              <w:rPr>
                <w:rFonts w:ascii="Calibri" w:cs="Calibri" w:eastAsia="Calibri" w:hAnsi="Calibri"/>
                <w:color w:val="404040"/>
                <w:sz w:val="20"/>
                <w:szCs w:val="20"/>
              </w:rPr>
              <w:t xml:space="preserve">This section should be reviewed by counsel for compliance with applicable law. Some jurisdictions limit the obligation to provide notice before compelled disclosure. If Client intends the engagement to be directed by outside counsel for attorney-client privilege purposes, additional provisions may apply; see the Privilege section of the Statement of Work and Engagement Terms (02 - Contract folder).</w:t>
            </w:r>
          </w:p>
        </w:tc>
      </w:tr>
    </w:tbl>
    <w:p>
      <w:pPr>
        <w:pStyle w:val="Heading2"/>
        <w:keepNext/>
        <w:spacing w:after="110" w:before="240"/>
      </w:pPr>
      <w:r>
        <w:rPr>
          <w:rFonts w:ascii="Calibri" w:cs="Calibri" w:eastAsia="Calibri" w:hAnsi="Calibri"/>
          <w:b/>
          <w:bCs/>
          <w:color w:val="2E74B5"/>
          <w:sz w:val="25"/>
          <w:szCs w:val="25"/>
        </w:rPr>
        <w:t xml:space="preserve">5. Data Handling and Security</w:t>
      </w:r>
    </w:p>
    <w:p>
      <w:pPr>
        <w:spacing w:after="120" w:before="0" w:line="276"/>
      </w:pPr>
      <w:r>
        <w:rPr>
          <w:rFonts w:ascii="Calibri" w:cs="Calibri" w:eastAsia="Calibri" w:hAnsi="Calibri"/>
          <w:color w:val="404040"/>
          <w:sz w:val="21"/>
          <w:szCs w:val="21"/>
        </w:rPr>
        <w:t xml:space="preserve">5.1 All Confidential Information in electronic form shall be stored using industry-standard encryption at rest and in transit.</w:t>
      </w:r>
    </w:p>
    <w:p>
      <w:pPr>
        <w:spacing w:after="120" w:before="0" w:line="276"/>
      </w:pPr>
      <w:r>
        <w:rPr>
          <w:rFonts w:ascii="Calibri" w:cs="Calibri" w:eastAsia="Calibri" w:hAnsi="Calibri"/>
          <w:color w:val="404040"/>
          <w:sz w:val="21"/>
          <w:szCs w:val="21"/>
        </w:rPr>
        <w:t xml:space="preserve">5.2 Access to Confidential Information shall be controlled and limited to authorized personnel with a need to know for the Purpose.</w:t>
      </w:r>
    </w:p>
    <w:p>
      <w:pPr>
        <w:spacing w:after="120" w:before="0" w:line="276"/>
      </w:pPr>
      <w:r>
        <w:rPr>
          <w:rFonts w:ascii="Calibri" w:cs="Calibri" w:eastAsia="Calibri" w:hAnsi="Calibri"/>
          <w:color w:val="404040"/>
          <w:sz w:val="21"/>
          <w:szCs w:val="21"/>
        </w:rPr>
        <w:t xml:space="preserve">5.3 Provider shall maintain a record of all personnel who access Client's Confidential Information.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Data handling</w:t>
            </w:r>
          </w:p>
          <w:p>
            <w:pPr>
              <w:spacing w:after="40" w:before="0" w:line="276"/>
            </w:pPr>
            <w:r>
              <w:rPr>
                <w:rFonts w:ascii="Calibri" w:cs="Calibri" w:eastAsia="Calibri" w:hAnsi="Calibri"/>
                <w:color w:val="404040"/>
                <w:sz w:val="20"/>
                <w:szCs w:val="20"/>
              </w:rPr>
              <w:t xml:space="preserve">These commitments are self-contained: they are the complete data-handling obligations for the engagement, so confirm that your practice's actual storage, access-control, and destruction procedures match what you promise here. If you hold security certifications (for example, SOC 2 or ISO 27001), reference them in this section for additional assurance.</w:t>
            </w:r>
          </w:p>
        </w:tc>
      </w:tr>
    </w:tbl>
    <w:p>
      <w:pPr>
        <w:pStyle w:val="Heading2"/>
        <w:keepNext/>
        <w:spacing w:after="110" w:before="240"/>
      </w:pPr>
      <w:r>
        <w:rPr>
          <w:rFonts w:ascii="Calibri" w:cs="Calibri" w:eastAsia="Calibri" w:hAnsi="Calibri"/>
          <w:b/>
          <w:bCs/>
          <w:color w:val="2E74B5"/>
          <w:sz w:val="25"/>
          <w:szCs w:val="25"/>
        </w:rPr>
        <w:t xml:space="preserve">6. Retention and Destruction</w:t>
      </w:r>
    </w:p>
    <w:p>
      <w:pPr>
        <w:spacing w:after="120" w:before="0" w:line="276"/>
      </w:pPr>
      <w:r>
        <w:rPr>
          <w:rFonts w:ascii="Calibri" w:cs="Calibri" w:eastAsia="Calibri" w:hAnsi="Calibri"/>
          <w:color w:val="404040"/>
          <w:sz w:val="21"/>
          <w:szCs w:val="21"/>
        </w:rPr>
        <w:t xml:space="preserve">6.1 Upon completion of the engagement and delivery of all final deliverables, or upon request by the disclosing Party, the receiving Party shall: (a) return or destroy all Confidential Information in its possession, including all copies, notes, and derivative materials; and (b) certify such return or destruction in writing within [30] days of the request.</w:t>
      </w:r>
    </w:p>
    <w:p>
      <w:pPr>
        <w:spacing w:after="120" w:before="0" w:line="276"/>
      </w:pPr>
      <w:r>
        <w:rPr>
          <w:rFonts w:ascii="Calibri" w:cs="Calibri" w:eastAsia="Calibri" w:hAnsi="Calibri"/>
          <w:color w:val="404040"/>
          <w:sz w:val="21"/>
          <w:szCs w:val="21"/>
        </w:rPr>
        <w:t xml:space="preserve">6.2 Notwithstanding Section 6.1, Provider may retain one archival copy of engagement records for a period of [3] years for quality assurance, dispute resolution, and compliance purposes, subject to the ongoing confidentiality obligations of this Agreement.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Retention period</w:t>
            </w:r>
          </w:p>
          <w:p>
            <w:pPr>
              <w:spacing w:after="40" w:before="0" w:line="276"/>
            </w:pPr>
            <w:r>
              <w:rPr>
                <w:rFonts w:ascii="Calibri" w:cs="Calibri" w:eastAsia="Calibri" w:hAnsi="Calibri"/>
                <w:color w:val="404040"/>
                <w:sz w:val="20"/>
                <w:szCs w:val="20"/>
              </w:rPr>
              <w:t xml:space="preserve">Adjust the retention period based on your practice's risk tolerance and insurance requirements. Common alternatives: 1 year (most conservative), 3 years (typical for professional services), 7 years (aligned with tax record retention). Confirm with your insurer whether retention or destruction is preferred.</w:t>
            </w:r>
          </w:p>
        </w:tc>
      </w:tr>
    </w:tbl>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00000" w:sz="24"/>
              <w:bottom w:val="none" w:color="FFFFFF" w:sz="0"/>
              <w:right w:val="none" w:color="FFFFFF" w:sz="0"/>
            </w:tcBorders>
            <w:shd w:fill="FBE4E4" w:val="clear"/>
            <w:tcMar>
              <w:top w:type="dxa" w:w="100"/>
              <w:left w:type="dxa" w:w="160"/>
              <w:bottom w:type="dxa" w:w="100"/>
              <w:right w:type="dxa" w:w="160"/>
            </w:tcMar>
          </w:tcPr>
          <w:p>
            <w:pPr>
              <w:spacing w:after="60"/>
            </w:pPr>
            <w:r>
              <w:rPr>
                <w:rFonts w:ascii="Calibri" w:cs="Calibri" w:eastAsia="Calibri" w:hAnsi="Calibri"/>
                <w:b/>
                <w:bCs/>
                <w:color w:val="C00000"/>
                <w:sz w:val="20"/>
                <w:szCs w:val="20"/>
              </w:rPr>
              <w:t xml:space="preserve">⚖  ATTORNEY REVIEW REQUIRED: Retention and destruction</w:t>
            </w:r>
          </w:p>
          <w:p>
            <w:pPr>
              <w:spacing w:after="40" w:before="0" w:line="276"/>
            </w:pPr>
            <w:r>
              <w:rPr>
                <w:rFonts w:ascii="Calibri" w:cs="Calibri" w:eastAsia="Calibri" w:hAnsi="Calibri"/>
                <w:color w:val="404040"/>
                <w:sz w:val="20"/>
                <w:szCs w:val="20"/>
              </w:rPr>
              <w:t xml:space="preserve">Retention provisions require careful review. The archival retention exception is common in professional services, but it must stay consistent with your internal data-handling practices and any applicable data protection regulations (GDPR Article 17, CCPA, PIPEDA).</w:t>
            </w:r>
          </w:p>
        </w:tc>
      </w:tr>
    </w:tbl>
    <w:p>
      <w:pPr>
        <w:pStyle w:val="Heading2"/>
        <w:keepNext/>
        <w:spacing w:after="110" w:before="240"/>
      </w:pPr>
      <w:r>
        <w:rPr>
          <w:rFonts w:ascii="Calibri" w:cs="Calibri" w:eastAsia="Calibri" w:hAnsi="Calibri"/>
          <w:b/>
          <w:bCs/>
          <w:color w:val="2E74B5"/>
          <w:sz w:val="25"/>
          <w:szCs w:val="25"/>
        </w:rPr>
        <w:t xml:space="preserve">7. Term</w:t>
      </w:r>
    </w:p>
    <w:p>
      <w:pPr>
        <w:spacing w:after="120" w:before="0" w:line="276"/>
      </w:pPr>
      <w:r>
        <w:rPr>
          <w:rFonts w:ascii="Calibri" w:cs="Calibri" w:eastAsia="Calibri" w:hAnsi="Calibri"/>
          <w:color w:val="404040"/>
          <w:sz w:val="21"/>
          <w:szCs w:val="21"/>
        </w:rPr>
        <w:t xml:space="preserve">7.1 This Agreement is effective as of the Effective Date and shall remain in effect for [2] years from the Effective Date, unless terminated earlier by either Party with [30] days' written notice.</w:t>
      </w:r>
    </w:p>
    <w:p>
      <w:pPr>
        <w:spacing w:after="120" w:before="0" w:line="276"/>
      </w:pPr>
      <w:r>
        <w:rPr>
          <w:rFonts w:ascii="Calibri" w:cs="Calibri" w:eastAsia="Calibri" w:hAnsi="Calibri"/>
          <w:color w:val="404040"/>
          <w:sz w:val="21"/>
          <w:szCs w:val="21"/>
        </w:rPr>
        <w:t xml:space="preserve">7.2 The obligations of confidentiality shall survive termination or expiration of this Agreement for a period of [3] years following termination or expiration.</w:t>
      </w:r>
    </w:p>
    <w:p>
      <w:pPr>
        <w:pStyle w:val="Heading2"/>
        <w:keepNext/>
        <w:spacing w:after="110" w:before="240"/>
      </w:pPr>
      <w:r>
        <w:rPr>
          <w:rFonts w:ascii="Calibri" w:cs="Calibri" w:eastAsia="Calibri" w:hAnsi="Calibri"/>
          <w:b/>
          <w:bCs/>
          <w:color w:val="2E74B5"/>
          <w:sz w:val="25"/>
          <w:szCs w:val="25"/>
        </w:rPr>
        <w:t xml:space="preserve">8. Remedies</w:t>
      </w:r>
    </w:p>
    <w:p>
      <w:pPr>
        <w:spacing w:after="120" w:before="0" w:line="276"/>
      </w:pPr>
      <w:r>
        <w:rPr>
          <w:rFonts w:ascii="Calibri" w:cs="Calibri" w:eastAsia="Calibri" w:hAnsi="Calibri"/>
          <w:color w:val="404040"/>
          <w:sz w:val="21"/>
          <w:szCs w:val="21"/>
        </w:rPr>
        <w:t xml:space="preserve">8.1 Each Party acknowledges that a breach of this Agreement may cause irreparable harm to the other Party for which monetary damages may be inadequate. Accordingly, each Party shall be entitled to seek equitable relief, including injunction and specific performance, in addition to all other remedies available at law or in equity.</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00000" w:sz="24"/>
              <w:bottom w:val="none" w:color="FFFFFF" w:sz="0"/>
              <w:right w:val="none" w:color="FFFFFF" w:sz="0"/>
            </w:tcBorders>
            <w:shd w:fill="FBE4E4" w:val="clear"/>
            <w:tcMar>
              <w:top w:type="dxa" w:w="100"/>
              <w:left w:type="dxa" w:w="160"/>
              <w:bottom w:type="dxa" w:w="100"/>
              <w:right w:type="dxa" w:w="160"/>
            </w:tcMar>
          </w:tcPr>
          <w:p>
            <w:pPr>
              <w:spacing w:after="60"/>
            </w:pPr>
            <w:r>
              <w:rPr>
                <w:rFonts w:ascii="Calibri" w:cs="Calibri" w:eastAsia="Calibri" w:hAnsi="Calibri"/>
                <w:b/>
                <w:bCs/>
                <w:color w:val="C00000"/>
                <w:sz w:val="20"/>
                <w:szCs w:val="20"/>
              </w:rPr>
              <w:t xml:space="preserve">⚖  ATTORNEY REVIEW REQUIRED: Remedies</w:t>
            </w:r>
          </w:p>
          <w:p>
            <w:pPr>
              <w:spacing w:after="40" w:before="0" w:line="276"/>
            </w:pPr>
            <w:r>
              <w:rPr>
                <w:rFonts w:ascii="Calibri" w:cs="Calibri" w:eastAsia="Calibri" w:hAnsi="Calibri"/>
                <w:color w:val="404040"/>
                <w:sz w:val="20"/>
                <w:szCs w:val="20"/>
              </w:rPr>
              <w:t xml:space="preserve">Equitable relief provisions are standard in confidentiality agreements but should be reviewed by counsel for enforceability in the applicable jurisdiction.</w:t>
            </w:r>
          </w:p>
        </w:tc>
      </w:tr>
    </w:tbl>
    <w:p>
      <w:pPr>
        <w:pStyle w:val="Heading2"/>
        <w:keepNext/>
        <w:spacing w:after="110" w:before="240"/>
      </w:pPr>
      <w:r>
        <w:rPr>
          <w:rFonts w:ascii="Calibri" w:cs="Calibri" w:eastAsia="Calibri" w:hAnsi="Calibri"/>
          <w:b/>
          <w:bCs/>
          <w:color w:val="2E74B5"/>
          <w:sz w:val="25"/>
          <w:szCs w:val="25"/>
        </w:rPr>
        <w:t xml:space="preserve">9. Residual Knowledge</w:t>
      </w:r>
    </w:p>
    <w:p>
      <w:pPr>
        <w:spacing w:after="120" w:before="0" w:line="276"/>
      </w:pPr>
      <w:r>
        <w:rPr>
          <w:rFonts w:ascii="Calibri" w:cs="Calibri" w:eastAsia="Calibri" w:hAnsi="Calibri"/>
          <w:color w:val="404040"/>
          <w:sz w:val="21"/>
          <w:szCs w:val="21"/>
        </w:rPr>
        <w:t xml:space="preserve">9.1 Notwithstanding the foregoing confidentiality obligations, nothing in this Agreement shall restrict either Party's use of general knowledge, skills, experience, ideas, concepts, know-how, and techniques that are retained in the unaided memory of its personnel who have had access to the other Party's Confidential Information, provided that this exception shall not be deemed a license under any intellectual property rights and shall not excuse a failure to maintain the confidentiality of specific Confidential Information.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00000" w:sz="24"/>
              <w:bottom w:val="none" w:color="FFFFFF" w:sz="0"/>
              <w:right w:val="none" w:color="FFFFFF" w:sz="0"/>
            </w:tcBorders>
            <w:shd w:fill="FBE4E4" w:val="clear"/>
            <w:tcMar>
              <w:top w:type="dxa" w:w="100"/>
              <w:left w:type="dxa" w:w="160"/>
              <w:bottom w:type="dxa" w:w="100"/>
              <w:right w:type="dxa" w:w="160"/>
            </w:tcMar>
          </w:tcPr>
          <w:p>
            <w:pPr>
              <w:spacing w:after="60"/>
            </w:pPr>
            <w:r>
              <w:rPr>
                <w:rFonts w:ascii="Calibri" w:cs="Calibri" w:eastAsia="Calibri" w:hAnsi="Calibri"/>
                <w:b/>
                <w:bCs/>
                <w:color w:val="C00000"/>
                <w:sz w:val="20"/>
                <w:szCs w:val="20"/>
              </w:rPr>
              <w:t xml:space="preserve">⚖  ATTORNEY REVIEW REQUIRED: Residual knowledge</w:t>
            </w:r>
          </w:p>
          <w:p>
            <w:pPr>
              <w:spacing w:after="40" w:before="0" w:line="276"/>
            </w:pPr>
            <w:r>
              <w:rPr>
                <w:rFonts w:ascii="Calibri" w:cs="Calibri" w:eastAsia="Calibri" w:hAnsi="Calibri"/>
                <w:color w:val="404040"/>
                <w:sz w:val="20"/>
                <w:szCs w:val="20"/>
              </w:rPr>
              <w:t xml:space="preserve">Residual knowledge clauses balance the provider's ability to keep practicing in the field against the client's confidentiality expectations. Counsel should confirm the clause is enforceable in your jurisdiction and consistent with the intellectual property provisions of the Statement of Work and Engagement Terms (02 - Contract folder).</w:t>
            </w:r>
          </w:p>
        </w:tc>
      </w:tr>
    </w:tbl>
    <w:p>
      <w:pPr>
        <w:pStyle w:val="Heading2"/>
        <w:keepNext/>
        <w:spacing w:after="110" w:before="240"/>
      </w:pPr>
      <w:r>
        <w:rPr>
          <w:rFonts w:ascii="Calibri" w:cs="Calibri" w:eastAsia="Calibri" w:hAnsi="Calibri"/>
          <w:b/>
          <w:bCs/>
          <w:color w:val="2E74B5"/>
          <w:sz w:val="25"/>
          <w:szCs w:val="25"/>
        </w:rPr>
        <w:t xml:space="preserve">10. General Provisions</w:t>
      </w:r>
    </w:p>
    <w:p>
      <w:pPr>
        <w:spacing w:after="120" w:before="0" w:line="276"/>
      </w:pPr>
      <w:r>
        <w:rPr>
          <w:rFonts w:ascii="Calibri" w:cs="Calibri" w:eastAsia="Calibri" w:hAnsi="Calibri"/>
          <w:color w:val="404040"/>
          <w:sz w:val="21"/>
          <w:szCs w:val="21"/>
        </w:rPr>
        <w:t xml:space="preserve">10.1 </w:t>
      </w:r>
      <w:r>
        <w:rPr>
          <w:rFonts w:ascii="Calibri" w:cs="Calibri" w:eastAsia="Calibri" w:hAnsi="Calibri"/>
          <w:b/>
          <w:bCs/>
          <w:color w:val="404040"/>
          <w:sz w:val="21"/>
          <w:szCs w:val="21"/>
        </w:rPr>
        <w:t xml:space="preserve">Governing Law.</w:t>
      </w:r>
      <w:r>
        <w:rPr>
          <w:rFonts w:ascii="Calibri" w:cs="Calibri" w:eastAsia="Calibri" w:hAnsi="Calibri"/>
          <w:color w:val="404040"/>
          <w:sz w:val="21"/>
          <w:szCs w:val="21"/>
        </w:rPr>
        <w:t xml:space="preserve"> This Agreement shall be governed by and construed in accordance with the laws of the State of [STATE], without regard to its conflicts of law principles.</w:t>
      </w:r>
    </w:p>
    <w:p>
      <w:pPr>
        <w:spacing w:after="120" w:before="0" w:line="276"/>
      </w:pPr>
      <w:r>
        <w:rPr>
          <w:rFonts w:ascii="Calibri" w:cs="Calibri" w:eastAsia="Calibri" w:hAnsi="Calibri"/>
          <w:color w:val="404040"/>
          <w:sz w:val="21"/>
          <w:szCs w:val="21"/>
        </w:rPr>
        <w:t xml:space="preserve">10.2 </w:t>
      </w:r>
      <w:r>
        <w:rPr>
          <w:rFonts w:ascii="Calibri" w:cs="Calibri" w:eastAsia="Calibri" w:hAnsi="Calibri"/>
          <w:b/>
          <w:bCs/>
          <w:color w:val="404040"/>
          <w:sz w:val="21"/>
          <w:szCs w:val="21"/>
        </w:rPr>
        <w:t xml:space="preserve">Entire Agreement.</w:t>
      </w:r>
      <w:r>
        <w:rPr>
          <w:rFonts w:ascii="Calibri" w:cs="Calibri" w:eastAsia="Calibri" w:hAnsi="Calibri"/>
          <w:color w:val="404040"/>
          <w:sz w:val="21"/>
          <w:szCs w:val="21"/>
        </w:rPr>
        <w:t xml:space="preserve"> This Agreement constitutes the entire agreement between the Parties regarding the subject matter hereof and supersedes all prior agreements, understandings, and communications regarding confidentiality between the Parties.</w:t>
      </w:r>
    </w:p>
    <w:p>
      <w:pPr>
        <w:spacing w:after="120" w:before="0" w:line="276"/>
      </w:pPr>
      <w:r>
        <w:rPr>
          <w:rFonts w:ascii="Calibri" w:cs="Calibri" w:eastAsia="Calibri" w:hAnsi="Calibri"/>
          <w:color w:val="404040"/>
          <w:sz w:val="21"/>
          <w:szCs w:val="21"/>
        </w:rPr>
        <w:t xml:space="preserve">10.3 </w:t>
      </w:r>
      <w:r>
        <w:rPr>
          <w:rFonts w:ascii="Calibri" w:cs="Calibri" w:eastAsia="Calibri" w:hAnsi="Calibri"/>
          <w:b/>
          <w:bCs/>
          <w:color w:val="404040"/>
          <w:sz w:val="21"/>
          <w:szCs w:val="21"/>
        </w:rPr>
        <w:t xml:space="preserve">Amendment.</w:t>
      </w:r>
      <w:r>
        <w:rPr>
          <w:rFonts w:ascii="Calibri" w:cs="Calibri" w:eastAsia="Calibri" w:hAnsi="Calibri"/>
          <w:color w:val="404040"/>
          <w:sz w:val="21"/>
          <w:szCs w:val="21"/>
        </w:rPr>
        <w:t xml:space="preserve"> This Agreement may be amended only by a written instrument signed by both Parties.</w:t>
      </w:r>
    </w:p>
    <w:p>
      <w:pPr>
        <w:spacing w:after="120" w:before="0" w:line="276"/>
      </w:pPr>
      <w:r>
        <w:rPr>
          <w:rFonts w:ascii="Calibri" w:cs="Calibri" w:eastAsia="Calibri" w:hAnsi="Calibri"/>
          <w:color w:val="404040"/>
          <w:sz w:val="21"/>
          <w:szCs w:val="21"/>
        </w:rPr>
        <w:t xml:space="preserve">10.4 </w:t>
      </w:r>
      <w:r>
        <w:rPr>
          <w:rFonts w:ascii="Calibri" w:cs="Calibri" w:eastAsia="Calibri" w:hAnsi="Calibri"/>
          <w:b/>
          <w:bCs/>
          <w:color w:val="404040"/>
          <w:sz w:val="21"/>
          <w:szCs w:val="21"/>
        </w:rPr>
        <w:t xml:space="preserve">Assignment.</w:t>
      </w:r>
      <w:r>
        <w:rPr>
          <w:rFonts w:ascii="Calibri" w:cs="Calibri" w:eastAsia="Calibri" w:hAnsi="Calibri"/>
          <w:color w:val="404040"/>
          <w:sz w:val="21"/>
          <w:szCs w:val="21"/>
        </w:rPr>
        <w:t xml:space="preserve"> Neither Party may assign this Agreement without the prior written consent of the other Party.</w:t>
      </w:r>
    </w:p>
    <w:p>
      <w:pPr>
        <w:spacing w:after="120" w:before="0" w:line="276"/>
      </w:pPr>
      <w:r>
        <w:rPr>
          <w:rFonts w:ascii="Calibri" w:cs="Calibri" w:eastAsia="Calibri" w:hAnsi="Calibri"/>
          <w:color w:val="404040"/>
          <w:sz w:val="21"/>
          <w:szCs w:val="21"/>
        </w:rPr>
        <w:t xml:space="preserve">10.5 </w:t>
      </w:r>
      <w:r>
        <w:rPr>
          <w:rFonts w:ascii="Calibri" w:cs="Calibri" w:eastAsia="Calibri" w:hAnsi="Calibri"/>
          <w:b/>
          <w:bCs/>
          <w:color w:val="404040"/>
          <w:sz w:val="21"/>
          <w:szCs w:val="21"/>
        </w:rPr>
        <w:t xml:space="preserve">Severability.</w:t>
      </w:r>
      <w:r>
        <w:rPr>
          <w:rFonts w:ascii="Calibri" w:cs="Calibri" w:eastAsia="Calibri" w:hAnsi="Calibri"/>
          <w:color w:val="404040"/>
          <w:sz w:val="21"/>
          <w:szCs w:val="21"/>
        </w:rPr>
        <w:t xml:space="preserve"> If any provision of this Agreement is held to be invalid or unenforceable, the remaining provisions shall continue in full force and effect.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Governing law</w:t>
            </w:r>
          </w:p>
          <w:p>
            <w:pPr>
              <w:spacing w:after="40" w:before="0" w:line="276"/>
            </w:pPr>
            <w:r>
              <w:rPr>
                <w:rFonts w:ascii="Calibri" w:cs="Calibri" w:eastAsia="Calibri" w:hAnsi="Calibri"/>
                <w:color w:val="404040"/>
                <w:sz w:val="20"/>
                <w:szCs w:val="20"/>
              </w:rPr>
              <w:t xml:space="preserve">Insert your state or jurisdiction. It should match the governing-law jurisdiction selected in the Statement of Work and Engagement Terms (02 - Contract folder).</w:t>
            </w:r>
          </w:p>
        </w:tc>
      </w:tr>
    </w:tbl>
    <w:p>
      <w:pPr>
        <w:pStyle w:val="Heading2"/>
        <w:keepNext/>
        <w:spacing w:after="110" w:before="240"/>
      </w:pPr>
      <w:r>
        <w:rPr>
          <w:rFonts w:ascii="Calibri" w:cs="Calibri" w:eastAsia="Calibri" w:hAnsi="Calibri"/>
          <w:b/>
          <w:bCs/>
          <w:color w:val="2E74B5"/>
          <w:sz w:val="25"/>
          <w:szCs w:val="25"/>
        </w:rPr>
        <w:t xml:space="preserve">11. Signatures</w:t>
      </w:r>
    </w:p>
    <w:p>
      <w:pPr>
        <w:spacing w:after="120" w:before="0" w:line="276"/>
      </w:pPr>
      <w:r>
        <w:rPr>
          <w:rFonts w:ascii="Calibri" w:cs="Calibri" w:eastAsia="Calibri" w:hAnsi="Calibri"/>
          <w:color w:val="404040"/>
          <w:sz w:val="21"/>
          <w:szCs w:val="21"/>
        </w:rPr>
        <w:t xml:space="preserve">IN WITNESS WHEREOF, the Parties have executed this Agreement as of the Effective Date.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200"/>
        <w:gridCol w:w="3580"/>
        <w:gridCol w:w="3580"/>
      </w:tblGrid>
      <w:tr>
        <w:trPr>
          <w:tblHeader/>
        </w:trPr>
        <w:tc>
          <w:tcPr>
            <w:tcW w:type="dxa" w:w="2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
            </w:r>
          </w:p>
        </w:tc>
        <w:tc>
          <w:tcPr>
            <w:tcW w:type="dxa" w:w="358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Provider</w:t>
            </w:r>
          </w:p>
        </w:tc>
        <w:tc>
          <w:tcPr>
            <w:tcW w:type="dxa" w:w="358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Client</w:t>
            </w:r>
          </w:p>
        </w:tc>
      </w:tr>
      <w:tr>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Signature</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r>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Printed Name</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r>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Title</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r>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c>
          <w:tcPr>
            <w:tcW w:type="dxa" w:w="358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________________________</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Mutual Non-Disclosure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2026-07-14T21:29:10.849Z</dcterms:created>
  <dcterms:modified xsi:type="dcterms:W3CDTF">2026-07-14T21:29:10.852Z</dcterms:modified>
</cp:coreProperties>
</file>

<file path=docProps/custom.xml><?xml version="1.0" encoding="utf-8"?>
<Properties xmlns="http://schemas.openxmlformats.org/officeDocument/2006/custom-properties" xmlns:vt="http://schemas.openxmlformats.org/officeDocument/2006/docPropsVTypes"/>
</file>